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09" w:rsidRDefault="00206E09">
      <w:pPr>
        <w:spacing w:line="400" w:lineRule="exact"/>
        <w:jc w:val="center"/>
        <w:rPr>
          <w:rFonts w:ascii="仿宋_GB2312" w:eastAsia="仿宋_GB2312"/>
          <w:sz w:val="32"/>
          <w:szCs w:val="32"/>
        </w:rPr>
      </w:pPr>
      <w:r>
        <w:rPr>
          <w:rFonts w:ascii="方正小标宋简体" w:eastAsia="方正小标宋简体" w:hint="eastAsia"/>
          <w:sz w:val="36"/>
          <w:szCs w:val="36"/>
        </w:rPr>
        <w:t>机关各党支部达标创星自评表</w:t>
      </w:r>
    </w:p>
    <w:p w:rsidR="00206E09" w:rsidRPr="00136BB9" w:rsidRDefault="00206E09" w:rsidP="00136BB9">
      <w:pPr>
        <w:spacing w:line="400" w:lineRule="exact"/>
        <w:rPr>
          <w:rFonts w:ascii="仿宋_GB2312" w:eastAsia="仿宋_GB2312"/>
          <w:sz w:val="32"/>
          <w:szCs w:val="32"/>
        </w:rPr>
      </w:pPr>
    </w:p>
    <w:p w:rsidR="00206E09" w:rsidRPr="001905A1" w:rsidRDefault="00206E09" w:rsidP="00136BB9">
      <w:pPr>
        <w:spacing w:line="400" w:lineRule="exact"/>
        <w:rPr>
          <w:rFonts w:ascii="宋体"/>
          <w:sz w:val="28"/>
          <w:szCs w:val="28"/>
        </w:rPr>
      </w:pPr>
      <w:r w:rsidRPr="001905A1">
        <w:rPr>
          <w:rFonts w:ascii="宋体" w:hAnsi="宋体" w:hint="eastAsia"/>
          <w:sz w:val="28"/>
          <w:szCs w:val="28"/>
        </w:rPr>
        <w:t>党支部名称</w:t>
      </w:r>
      <w:r>
        <w:rPr>
          <w:rFonts w:ascii="宋体" w:hAnsi="宋体" w:hint="eastAsia"/>
          <w:sz w:val="28"/>
          <w:szCs w:val="28"/>
        </w:rPr>
        <w:t>（盖章）</w:t>
      </w:r>
      <w:r w:rsidRPr="001905A1">
        <w:rPr>
          <w:rFonts w:ascii="宋体" w:hAnsi="宋体" w:hint="eastAsia"/>
          <w:sz w:val="28"/>
          <w:szCs w:val="28"/>
        </w:rPr>
        <w:t>：</w:t>
      </w:r>
      <w:r w:rsidRPr="001905A1">
        <w:rPr>
          <w:rFonts w:ascii="宋体" w:hAnsi="宋体"/>
          <w:sz w:val="28"/>
          <w:szCs w:val="28"/>
        </w:rPr>
        <w:t xml:space="preserve">                          </w:t>
      </w:r>
      <w:r w:rsidRPr="001905A1">
        <w:rPr>
          <w:rFonts w:ascii="宋体" w:hAnsi="宋体" w:hint="eastAsia"/>
          <w:sz w:val="28"/>
          <w:szCs w:val="28"/>
        </w:rPr>
        <w:t>党支部签名：</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9"/>
        <w:gridCol w:w="7207"/>
        <w:gridCol w:w="713"/>
        <w:gridCol w:w="720"/>
      </w:tblGrid>
      <w:tr w:rsidR="00206E09" w:rsidTr="001905A1">
        <w:trPr>
          <w:trHeight w:val="822"/>
          <w:tblHeader/>
          <w:jc w:val="center"/>
        </w:trPr>
        <w:tc>
          <w:tcPr>
            <w:tcW w:w="1069" w:type="dxa"/>
            <w:vAlign w:val="center"/>
          </w:tcPr>
          <w:p w:rsidR="00206E09" w:rsidRPr="003B6320" w:rsidRDefault="00206E09" w:rsidP="003B6320">
            <w:pPr>
              <w:widowControl/>
              <w:jc w:val="center"/>
              <w:rPr>
                <w:rFonts w:ascii="楷体_GB2312" w:eastAsia="楷体_GB2312"/>
                <w:b/>
                <w:bCs/>
                <w:sz w:val="28"/>
                <w:szCs w:val="28"/>
              </w:rPr>
            </w:pPr>
            <w:r w:rsidRPr="003B6320">
              <w:rPr>
                <w:rFonts w:ascii="宋体" w:hAnsi="宋体" w:cs="宋体" w:hint="eastAsia"/>
                <w:b/>
                <w:bCs/>
                <w:kern w:val="0"/>
                <w:szCs w:val="21"/>
              </w:rPr>
              <w:t>项目</w:t>
            </w:r>
          </w:p>
        </w:tc>
        <w:tc>
          <w:tcPr>
            <w:tcW w:w="7207" w:type="dxa"/>
            <w:vAlign w:val="center"/>
          </w:tcPr>
          <w:p w:rsidR="00206E09" w:rsidRPr="003B6320" w:rsidRDefault="00206E09" w:rsidP="003B6320">
            <w:pPr>
              <w:widowControl/>
              <w:jc w:val="center"/>
              <w:rPr>
                <w:rFonts w:ascii="楷体_GB2312" w:eastAsia="楷体_GB2312"/>
                <w:b/>
                <w:bCs/>
                <w:sz w:val="28"/>
                <w:szCs w:val="28"/>
              </w:rPr>
            </w:pPr>
            <w:r w:rsidRPr="003B6320">
              <w:rPr>
                <w:rFonts w:ascii="宋体" w:hAnsi="宋体" w:cs="宋体" w:hint="eastAsia"/>
                <w:b/>
                <w:bCs/>
                <w:kern w:val="0"/>
                <w:szCs w:val="21"/>
              </w:rPr>
              <w:t>标</w:t>
            </w:r>
            <w:r w:rsidRPr="003B6320">
              <w:rPr>
                <w:rFonts w:ascii="宋体" w:cs="宋体"/>
                <w:b/>
                <w:bCs/>
                <w:kern w:val="0"/>
                <w:szCs w:val="21"/>
              </w:rPr>
              <w:t> </w:t>
            </w:r>
            <w:r w:rsidRPr="003B6320">
              <w:rPr>
                <w:rFonts w:ascii="宋体" w:hAnsi="宋体" w:cs="宋体"/>
                <w:b/>
                <w:bCs/>
                <w:kern w:val="0"/>
                <w:szCs w:val="21"/>
              </w:rPr>
              <w:t xml:space="preserve"> </w:t>
            </w:r>
            <w:r w:rsidRPr="003B6320">
              <w:rPr>
                <w:rFonts w:ascii="宋体" w:hAnsi="宋体" w:cs="宋体" w:hint="eastAsia"/>
                <w:b/>
                <w:bCs/>
                <w:kern w:val="0"/>
                <w:szCs w:val="21"/>
              </w:rPr>
              <w:t>准</w:t>
            </w:r>
            <w:r w:rsidRPr="003B6320">
              <w:rPr>
                <w:rFonts w:ascii="宋体" w:cs="宋体"/>
                <w:b/>
                <w:bCs/>
                <w:kern w:val="0"/>
                <w:szCs w:val="21"/>
              </w:rPr>
              <w:t> </w:t>
            </w:r>
            <w:r w:rsidRPr="003B6320">
              <w:rPr>
                <w:rFonts w:ascii="宋体" w:hAnsi="宋体" w:cs="宋体"/>
                <w:b/>
                <w:bCs/>
                <w:kern w:val="0"/>
                <w:szCs w:val="21"/>
              </w:rPr>
              <w:t xml:space="preserve"> </w:t>
            </w:r>
            <w:r w:rsidRPr="003B6320">
              <w:rPr>
                <w:rFonts w:ascii="宋体" w:hAnsi="宋体" w:cs="宋体" w:hint="eastAsia"/>
                <w:b/>
                <w:bCs/>
                <w:kern w:val="0"/>
                <w:szCs w:val="21"/>
              </w:rPr>
              <w:t>及</w:t>
            </w:r>
            <w:r w:rsidRPr="003B6320">
              <w:rPr>
                <w:rFonts w:ascii="宋体" w:cs="宋体"/>
                <w:b/>
                <w:bCs/>
                <w:kern w:val="0"/>
                <w:szCs w:val="21"/>
              </w:rPr>
              <w:t> </w:t>
            </w:r>
            <w:r w:rsidRPr="003B6320">
              <w:rPr>
                <w:rFonts w:ascii="宋体" w:hAnsi="宋体" w:cs="宋体"/>
                <w:b/>
                <w:bCs/>
                <w:kern w:val="0"/>
                <w:szCs w:val="21"/>
              </w:rPr>
              <w:t xml:space="preserve"> </w:t>
            </w:r>
            <w:r w:rsidRPr="003B6320">
              <w:rPr>
                <w:rFonts w:ascii="宋体" w:hAnsi="宋体" w:cs="宋体" w:hint="eastAsia"/>
                <w:b/>
                <w:bCs/>
                <w:kern w:val="0"/>
                <w:szCs w:val="21"/>
              </w:rPr>
              <w:t>要</w:t>
            </w:r>
            <w:r w:rsidRPr="003B6320">
              <w:rPr>
                <w:rFonts w:ascii="宋体" w:cs="宋体"/>
                <w:b/>
                <w:bCs/>
                <w:kern w:val="0"/>
                <w:szCs w:val="21"/>
              </w:rPr>
              <w:t> </w:t>
            </w:r>
            <w:r w:rsidRPr="003B6320">
              <w:rPr>
                <w:rFonts w:ascii="宋体" w:hAnsi="宋体" w:cs="宋体"/>
                <w:b/>
                <w:bCs/>
                <w:kern w:val="0"/>
                <w:szCs w:val="21"/>
              </w:rPr>
              <w:t xml:space="preserve"> </w:t>
            </w:r>
            <w:r w:rsidRPr="003B6320">
              <w:rPr>
                <w:rFonts w:ascii="宋体" w:hAnsi="宋体" w:cs="宋体" w:hint="eastAsia"/>
                <w:b/>
                <w:bCs/>
                <w:kern w:val="0"/>
                <w:szCs w:val="21"/>
              </w:rPr>
              <w:t>求</w:t>
            </w:r>
          </w:p>
        </w:tc>
        <w:tc>
          <w:tcPr>
            <w:tcW w:w="713" w:type="dxa"/>
            <w:vAlign w:val="center"/>
          </w:tcPr>
          <w:p w:rsidR="00206E09" w:rsidRPr="003B6320" w:rsidRDefault="00206E09" w:rsidP="003B6320">
            <w:pPr>
              <w:widowControl/>
              <w:jc w:val="center"/>
              <w:rPr>
                <w:rFonts w:ascii="宋体" w:cs="宋体"/>
                <w:b/>
                <w:bCs/>
                <w:kern w:val="0"/>
                <w:szCs w:val="21"/>
              </w:rPr>
            </w:pPr>
            <w:r w:rsidRPr="003B6320">
              <w:rPr>
                <w:rFonts w:ascii="宋体" w:hAnsi="宋体" w:cs="宋体" w:hint="eastAsia"/>
                <w:b/>
                <w:bCs/>
                <w:kern w:val="0"/>
                <w:szCs w:val="21"/>
              </w:rPr>
              <w:t>分值</w:t>
            </w:r>
          </w:p>
        </w:tc>
        <w:tc>
          <w:tcPr>
            <w:tcW w:w="720" w:type="dxa"/>
            <w:vAlign w:val="center"/>
          </w:tcPr>
          <w:p w:rsidR="00206E09" w:rsidRPr="003B6320" w:rsidRDefault="00206E09" w:rsidP="003B6320">
            <w:pPr>
              <w:widowControl/>
              <w:jc w:val="center"/>
              <w:rPr>
                <w:rFonts w:ascii="宋体" w:cs="宋体"/>
                <w:b/>
                <w:bCs/>
                <w:kern w:val="0"/>
                <w:szCs w:val="21"/>
              </w:rPr>
            </w:pPr>
            <w:r>
              <w:rPr>
                <w:rFonts w:ascii="宋体" w:cs="宋体" w:hint="eastAsia"/>
                <w:b/>
                <w:bCs/>
                <w:kern w:val="0"/>
                <w:szCs w:val="21"/>
              </w:rPr>
              <w:t>自评</w:t>
            </w:r>
          </w:p>
        </w:tc>
      </w:tr>
      <w:tr w:rsidR="00206E09" w:rsidTr="001905A1">
        <w:trPr>
          <w:trHeight w:val="765"/>
          <w:tblHeader/>
          <w:jc w:val="center"/>
        </w:trPr>
        <w:tc>
          <w:tcPr>
            <w:tcW w:w="1069" w:type="dxa"/>
            <w:vMerge w:val="restart"/>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基本</w:t>
            </w:r>
          </w:p>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组织</w:t>
            </w:r>
          </w:p>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w:t>
            </w:r>
            <w:r w:rsidRPr="003B6320">
              <w:rPr>
                <w:rFonts w:ascii="宋体" w:hAnsi="宋体" w:cs="宋体"/>
                <w:kern w:val="0"/>
                <w:szCs w:val="21"/>
              </w:rPr>
              <w:t>13</w:t>
            </w:r>
            <w:r w:rsidRPr="003B6320">
              <w:rPr>
                <w:rFonts w:ascii="宋体" w:hAnsi="宋体" w:cs="宋体" w:hint="eastAsia"/>
                <w:kern w:val="0"/>
                <w:szCs w:val="21"/>
              </w:rPr>
              <w:t>分）</w:t>
            </w: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规范党组织设置，人数较多的党支部应按规定及时升格为党委、党总支，并根据实际合理划分党小组，能够按期进行换届选举。</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4</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765"/>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党组织隶属关系、党员组织关系明确、规范，按规定做好党员党组织关系接转、流动党员和出国境党员管理。</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4</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580"/>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建立规范的党建工作管理台账，做到党员基本情况、入党积极分子等基本情况清楚。</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5</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1129"/>
          <w:tblHeader/>
          <w:jc w:val="center"/>
        </w:trPr>
        <w:tc>
          <w:tcPr>
            <w:tcW w:w="1069" w:type="dxa"/>
            <w:vMerge w:val="restart"/>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基本</w:t>
            </w:r>
          </w:p>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队伍</w:t>
            </w:r>
          </w:p>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w:t>
            </w:r>
            <w:r w:rsidRPr="003B6320">
              <w:rPr>
                <w:rFonts w:ascii="宋体" w:hAnsi="宋体" w:cs="宋体"/>
                <w:kern w:val="0"/>
                <w:szCs w:val="21"/>
              </w:rPr>
              <w:t>15</w:t>
            </w:r>
            <w:r w:rsidRPr="003B6320">
              <w:rPr>
                <w:rFonts w:ascii="宋体" w:hAnsi="宋体" w:cs="宋体" w:hint="eastAsia"/>
                <w:kern w:val="0"/>
                <w:szCs w:val="21"/>
              </w:rPr>
              <w:t>分）</w:t>
            </w: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选优配强党支部书记，党支部书记党性强、业务精、有威信、肯奉献，实施教师党支部书记“双带头人”培育工程，注重从优秀辅导员、优秀大学生党员中选拔学生党支部书记。</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401"/>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党支部班子配备合理、团结协调，在党员和师生中有凝聚力和影响力。</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401"/>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配齐配强专兼职党务工作人员，数量充足、业务熟悉、结构合理。</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1790"/>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党员发展台账及党员档案完整，党员发展工作能按计划完成。坚持党员发展标准，严格党员发展程序，注重政治合格，端正师生入党动机。教师党支部推行“双培养”，积极团结凝聚高层次人才、优秀青年教师、海外留学归国教师，符合条件的及时吸收入党。学生党支部将“推荐优秀团员作为入党积极分子人选”作为重要渠道，严把“质量关”，重视发展少数民族学生入党。</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660"/>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加强党员教育管理监督服务，经常性地组织党员培训，定期开展党员考核评价。</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1129"/>
          <w:tblHeader/>
          <w:jc w:val="center"/>
        </w:trPr>
        <w:tc>
          <w:tcPr>
            <w:tcW w:w="1069" w:type="dxa"/>
            <w:vMerge w:val="restart"/>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基本</w:t>
            </w:r>
          </w:p>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活动</w:t>
            </w:r>
          </w:p>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w:t>
            </w:r>
            <w:r w:rsidRPr="003B6320">
              <w:rPr>
                <w:rFonts w:ascii="宋体" w:hAnsi="宋体" w:cs="宋体"/>
                <w:kern w:val="0"/>
                <w:szCs w:val="21"/>
              </w:rPr>
              <w:t>20</w:t>
            </w:r>
            <w:r w:rsidRPr="003B6320">
              <w:rPr>
                <w:rFonts w:ascii="宋体" w:hAnsi="宋体" w:cs="宋体" w:hint="eastAsia"/>
                <w:kern w:val="0"/>
                <w:szCs w:val="21"/>
              </w:rPr>
              <w:t>分）</w:t>
            </w: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以推进“两学一做”常态化制度化为抓手，深入开展“不忘初心、牢记使命”主题教育，组织党员深入学习贯彻习近平新时代中国特色社会主义思想和党的十九大精神，学习宣传形式生动，成效好。</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4</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765"/>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经常开展师德师风教育活动，每位教师每年参加师德学习教育不少于</w:t>
            </w:r>
            <w:r w:rsidRPr="003B6320">
              <w:rPr>
                <w:rFonts w:ascii="宋体" w:hAnsi="宋体" w:cs="宋体"/>
                <w:kern w:val="0"/>
                <w:szCs w:val="21"/>
              </w:rPr>
              <w:t>10</w:t>
            </w:r>
            <w:r w:rsidRPr="003B6320">
              <w:rPr>
                <w:rFonts w:ascii="宋体" w:hAnsi="宋体" w:cs="宋体" w:hint="eastAsia"/>
                <w:kern w:val="0"/>
                <w:szCs w:val="21"/>
              </w:rPr>
              <w:t>个学时，实行师德“一票否决制”。</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4</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765"/>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组织开展党支部立项活动，持续开展“书记好党课、党员好故事、支部好案例”创建活动。</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4</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765"/>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推动教师党支部之间、教师党支部与学生党支部之间、教师党支部与校外党支部之间开展“共建共创”活动。</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4</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765"/>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定期开展支部主题党日活动，组织党员集中学习、过组织生活、进行民主议事、开展志愿服务等活动。</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4</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1129"/>
          <w:tblHeader/>
          <w:jc w:val="center"/>
        </w:trPr>
        <w:tc>
          <w:tcPr>
            <w:tcW w:w="1069" w:type="dxa"/>
            <w:vMerge w:val="restart"/>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基本</w:t>
            </w:r>
          </w:p>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作用</w:t>
            </w:r>
          </w:p>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w:t>
            </w:r>
            <w:r w:rsidRPr="003B6320">
              <w:rPr>
                <w:rFonts w:ascii="宋体" w:hAnsi="宋体" w:cs="宋体"/>
                <w:kern w:val="0"/>
                <w:szCs w:val="21"/>
              </w:rPr>
              <w:t>20</w:t>
            </w:r>
            <w:r w:rsidRPr="003B6320">
              <w:rPr>
                <w:rFonts w:ascii="宋体" w:hAnsi="宋体" w:cs="宋体" w:hint="eastAsia"/>
                <w:kern w:val="0"/>
                <w:szCs w:val="21"/>
              </w:rPr>
              <w:t>分）</w:t>
            </w: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积极开展争创先进党组织、优秀党员活动，设立党员“责任区”“先锋岗”，组织党员开展“党员突击队”“党员示范岗”“党员志愿服务队”等，教育引导师生党员在日常教学科研生活中亮出党员身份、立起先进标尺、树立先锋形象。</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1129"/>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加强校园文化建设，巩固马克思主义在高校意识形态领域的指导地位，有效防止各类错误思想文化侵蚀，教育引导师生在课堂教学、论坛讲座等活动中坚持正确的政治立场、政治方向、政治原则、政治道路。</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4</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1129"/>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引领带动师生积极投身学校改革发展、维护学校和谐稳定。教师党支部团结带领广大教师落实立德树人根本任务，不断提高人才培养质量；学生党支部积极参与班级、年级、学生组织管理工作，引领优良班风学风校风建设，推进社会主义核心价值观培育践行。</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4</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765"/>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联系帮扶、关心关爱困难教师和学生</w:t>
            </w:r>
            <w:r w:rsidRPr="003B6320">
              <w:rPr>
                <w:rFonts w:hint="eastAsia"/>
                <w:szCs w:val="21"/>
              </w:rPr>
              <w:t>，帮助解决工作生活中的困难和问题，使他们感受到党组织的温暖。</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765"/>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把社会主义核心价值观培育践行贯穿师生专业课实践教学、社会实践活动、创新创业教育、志愿服务等过程，积极开展社会公益等活动，履行社会责任。</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765"/>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坚持以支部党的建设带动所在单位共青团、工会等群团组织建设，加强党建带群建、群建促党建。</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765"/>
          <w:tblHeader/>
          <w:jc w:val="center"/>
        </w:trPr>
        <w:tc>
          <w:tcPr>
            <w:tcW w:w="1069" w:type="dxa"/>
            <w:vMerge w:val="restart"/>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基本</w:t>
            </w:r>
          </w:p>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制度</w:t>
            </w:r>
          </w:p>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w:t>
            </w:r>
            <w:r w:rsidRPr="003B6320">
              <w:rPr>
                <w:rFonts w:ascii="宋体" w:hAnsi="宋体" w:cs="宋体"/>
                <w:kern w:val="0"/>
                <w:szCs w:val="21"/>
              </w:rPr>
              <w:t>20</w:t>
            </w:r>
            <w:r w:rsidRPr="003B6320">
              <w:rPr>
                <w:rFonts w:ascii="宋体" w:hAnsi="宋体" w:cs="宋体" w:hint="eastAsia"/>
                <w:kern w:val="0"/>
                <w:szCs w:val="21"/>
              </w:rPr>
              <w:t>分）</w:t>
            </w: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认真落实党员发展教育管理监督、党费收缴使用、党务政务公开、党风廉政建设、党组织书记抓基层党建述职评议等制度并规范运行。</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4</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765"/>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建立党组织参与决策和监督、有效发挥作用的制度机制，健全议事决策制度、沟通协调机制。</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1129"/>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严格规范“三会一课”、组织生活会、谈心谈话、民主评议党员等党的组织生活制度，积极创新方式方法。每年至少召开</w:t>
            </w:r>
            <w:r w:rsidRPr="003B6320">
              <w:rPr>
                <w:rFonts w:ascii="宋体" w:hAnsi="宋体" w:cs="宋体"/>
                <w:kern w:val="0"/>
                <w:szCs w:val="21"/>
              </w:rPr>
              <w:t>1</w:t>
            </w:r>
            <w:r w:rsidRPr="003B6320">
              <w:rPr>
                <w:rFonts w:ascii="宋体" w:hAnsi="宋体" w:cs="宋体" w:hint="eastAsia"/>
                <w:kern w:val="0"/>
                <w:szCs w:val="21"/>
              </w:rPr>
              <w:t>次组织生活会、</w:t>
            </w:r>
            <w:r w:rsidRPr="003B6320">
              <w:rPr>
                <w:rFonts w:ascii="宋体" w:hAnsi="宋体" w:cs="宋体"/>
                <w:kern w:val="0"/>
                <w:szCs w:val="21"/>
              </w:rPr>
              <w:t>1</w:t>
            </w:r>
            <w:r w:rsidRPr="003B6320">
              <w:rPr>
                <w:rFonts w:ascii="宋体" w:hAnsi="宋体" w:cs="宋体" w:hint="eastAsia"/>
                <w:kern w:val="0"/>
                <w:szCs w:val="21"/>
              </w:rPr>
              <w:t>次民主评议党员。党支部委员之间、党支部委员和党员之间、党员和党员之间，每年谈心谈话一般不少于</w:t>
            </w:r>
            <w:r w:rsidRPr="003B6320">
              <w:rPr>
                <w:rFonts w:ascii="宋体" w:hAnsi="宋体" w:cs="宋体"/>
                <w:kern w:val="0"/>
                <w:szCs w:val="21"/>
              </w:rPr>
              <w:t>1</w:t>
            </w:r>
            <w:r w:rsidRPr="003B6320">
              <w:rPr>
                <w:rFonts w:ascii="宋体" w:hAnsi="宋体" w:cs="宋体" w:hint="eastAsia"/>
                <w:kern w:val="0"/>
                <w:szCs w:val="21"/>
              </w:rPr>
              <w:t>次。</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4</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765"/>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每学期末向上级党组织报告</w:t>
            </w:r>
            <w:r w:rsidRPr="003B6320">
              <w:rPr>
                <w:rFonts w:ascii="宋体" w:hAnsi="宋体" w:cs="宋体"/>
                <w:kern w:val="0"/>
                <w:szCs w:val="21"/>
              </w:rPr>
              <w:t>1</w:t>
            </w:r>
            <w:r w:rsidRPr="003B6320">
              <w:rPr>
                <w:rFonts w:ascii="宋体" w:hAnsi="宋体" w:cs="宋体" w:hint="eastAsia"/>
                <w:kern w:val="0"/>
                <w:szCs w:val="21"/>
              </w:rPr>
              <w:t>次支部工作，每年向支部党员大会报告工作情况，党员每年向党支部汇报</w:t>
            </w:r>
            <w:r w:rsidRPr="003B6320">
              <w:rPr>
                <w:rFonts w:ascii="宋体" w:hAnsi="宋体" w:cs="宋体"/>
                <w:kern w:val="0"/>
                <w:szCs w:val="21"/>
              </w:rPr>
              <w:t>1</w:t>
            </w:r>
            <w:r w:rsidRPr="003B6320">
              <w:rPr>
                <w:rFonts w:ascii="宋体" w:hAnsi="宋体" w:cs="宋体" w:hint="eastAsia"/>
                <w:kern w:val="0"/>
                <w:szCs w:val="21"/>
              </w:rPr>
              <w:t>次学习、思想和工作情况。</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1129"/>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建立党员与师生结对制度，鼓励党员学术带头人与青年教职工结对子，党员与学业优秀的学生结对子，发挥“学术导师”和“政治导师”作用，引导他们主动向党组织靠拢，为党员队伍注入新动力。</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830"/>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健全党内激励、关怀、帮扶机制，进一步激励党员新时代新担当新作为，把解决思想问题和解决实际问题相结合，积极开展服务、帮扶、慰问等活动。</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496"/>
          <w:tblHeader/>
          <w:jc w:val="center"/>
        </w:trPr>
        <w:tc>
          <w:tcPr>
            <w:tcW w:w="1069" w:type="dxa"/>
            <w:vMerge w:val="restart"/>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基本</w:t>
            </w:r>
          </w:p>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保障</w:t>
            </w:r>
          </w:p>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hint="eastAsia"/>
                <w:kern w:val="0"/>
                <w:szCs w:val="21"/>
              </w:rPr>
              <w:t>（</w:t>
            </w:r>
            <w:r w:rsidRPr="003B6320">
              <w:rPr>
                <w:rFonts w:ascii="宋体" w:hAnsi="宋体" w:cs="宋体"/>
                <w:kern w:val="0"/>
                <w:szCs w:val="21"/>
              </w:rPr>
              <w:t>12</w:t>
            </w:r>
            <w:r w:rsidRPr="003B6320">
              <w:rPr>
                <w:rFonts w:ascii="宋体" w:hAnsi="宋体" w:cs="宋体" w:hint="eastAsia"/>
                <w:kern w:val="0"/>
                <w:szCs w:val="21"/>
              </w:rPr>
              <w:t>分）</w:t>
            </w: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加强对党建工作各类经费的管理使用，建立管理使用办法，并严格执行。</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5</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765"/>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专职党务工作人员比照学校同级行政管理人员落实相关待遇，兼职党务工作者应计算工作量。</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4</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1905A1">
        <w:trPr>
          <w:trHeight w:val="802"/>
          <w:tblHeader/>
          <w:jc w:val="center"/>
        </w:trPr>
        <w:tc>
          <w:tcPr>
            <w:tcW w:w="1069" w:type="dxa"/>
            <w:vMerge/>
            <w:vAlign w:val="center"/>
          </w:tcPr>
          <w:p w:rsidR="00206E09" w:rsidRPr="003B6320" w:rsidRDefault="00206E09" w:rsidP="003B6320">
            <w:pPr>
              <w:widowControl/>
              <w:spacing w:line="230" w:lineRule="exact"/>
              <w:jc w:val="center"/>
              <w:rPr>
                <w:rFonts w:ascii="宋体" w:cs="宋体"/>
                <w:kern w:val="0"/>
                <w:szCs w:val="21"/>
              </w:rPr>
            </w:pPr>
          </w:p>
        </w:tc>
        <w:tc>
          <w:tcPr>
            <w:tcW w:w="7207" w:type="dxa"/>
            <w:vAlign w:val="center"/>
          </w:tcPr>
          <w:p w:rsidR="00206E09" w:rsidRPr="003B6320" w:rsidRDefault="00206E09" w:rsidP="003B6320">
            <w:pPr>
              <w:widowControl/>
              <w:spacing w:line="240" w:lineRule="exact"/>
              <w:jc w:val="left"/>
              <w:rPr>
                <w:rFonts w:ascii="宋体" w:cs="宋体"/>
                <w:kern w:val="0"/>
                <w:szCs w:val="21"/>
              </w:rPr>
            </w:pPr>
            <w:r w:rsidRPr="003B6320">
              <w:rPr>
                <w:rFonts w:ascii="宋体" w:hAnsi="宋体" w:cs="宋体" w:hint="eastAsia"/>
                <w:kern w:val="0"/>
                <w:szCs w:val="21"/>
              </w:rPr>
              <w:t>规范建设党建工作阵地，有党员活动室、会议室，活动场所布置规范，面积能够满足全体党员学习、会议等需要。</w:t>
            </w:r>
          </w:p>
        </w:tc>
        <w:tc>
          <w:tcPr>
            <w:tcW w:w="713" w:type="dxa"/>
            <w:vAlign w:val="center"/>
          </w:tcPr>
          <w:p w:rsidR="00206E09" w:rsidRPr="003B6320" w:rsidRDefault="00206E09" w:rsidP="003B6320">
            <w:pPr>
              <w:widowControl/>
              <w:spacing w:line="230" w:lineRule="exact"/>
              <w:jc w:val="center"/>
              <w:rPr>
                <w:rFonts w:ascii="宋体" w:cs="宋体"/>
                <w:kern w:val="0"/>
                <w:szCs w:val="21"/>
              </w:rPr>
            </w:pPr>
            <w:r w:rsidRPr="003B6320">
              <w:rPr>
                <w:rFonts w:ascii="宋体" w:hAnsi="宋体" w:cs="宋体"/>
                <w:kern w:val="0"/>
                <w:szCs w:val="21"/>
              </w:rPr>
              <w:t>3</w:t>
            </w:r>
            <w:r w:rsidRPr="003B6320">
              <w:rPr>
                <w:rFonts w:ascii="宋体" w:hAnsi="宋体" w:cs="宋体" w:hint="eastAsia"/>
                <w:kern w:val="0"/>
                <w:szCs w:val="21"/>
              </w:rPr>
              <w:t>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r w:rsidR="00206E09" w:rsidTr="008E464F">
        <w:trPr>
          <w:trHeight w:val="802"/>
          <w:tblHeader/>
          <w:jc w:val="center"/>
        </w:trPr>
        <w:tc>
          <w:tcPr>
            <w:tcW w:w="8989" w:type="dxa"/>
            <w:gridSpan w:val="3"/>
            <w:vAlign w:val="center"/>
          </w:tcPr>
          <w:p w:rsidR="00206E09" w:rsidRPr="003B6320" w:rsidRDefault="00206E09" w:rsidP="00547D76">
            <w:pPr>
              <w:widowControl/>
              <w:spacing w:line="230" w:lineRule="exact"/>
              <w:jc w:val="right"/>
              <w:rPr>
                <w:rFonts w:ascii="宋体" w:cs="宋体"/>
                <w:kern w:val="0"/>
                <w:szCs w:val="21"/>
              </w:rPr>
            </w:pPr>
            <w:r>
              <w:rPr>
                <w:rFonts w:ascii="宋体" w:hAnsi="宋体" w:cs="宋体" w:hint="eastAsia"/>
                <w:kern w:val="0"/>
                <w:szCs w:val="21"/>
              </w:rPr>
              <w:t>自评总分：</w:t>
            </w:r>
          </w:p>
        </w:tc>
        <w:tc>
          <w:tcPr>
            <w:tcW w:w="720" w:type="dxa"/>
            <w:vAlign w:val="center"/>
          </w:tcPr>
          <w:p w:rsidR="00206E09" w:rsidRPr="003B6320" w:rsidRDefault="00206E09" w:rsidP="003B6320">
            <w:pPr>
              <w:widowControl/>
              <w:spacing w:line="230" w:lineRule="exact"/>
              <w:jc w:val="center"/>
              <w:rPr>
                <w:rFonts w:ascii="宋体" w:cs="宋体"/>
                <w:kern w:val="0"/>
                <w:szCs w:val="21"/>
              </w:rPr>
            </w:pPr>
          </w:p>
        </w:tc>
      </w:tr>
    </w:tbl>
    <w:p w:rsidR="00206E09" w:rsidRDefault="00206E09">
      <w:pPr>
        <w:rPr>
          <w:rFonts w:eastAsia="仿宋_GB2312"/>
          <w:color w:val="000000"/>
          <w:sz w:val="32"/>
          <w:szCs w:val="32"/>
        </w:rPr>
        <w:sectPr w:rsidR="00206E09" w:rsidSect="00D876A9">
          <w:pgSz w:w="11906" w:h="16838"/>
          <w:pgMar w:top="1134" w:right="1134" w:bottom="1134" w:left="1134" w:header="851" w:footer="992" w:gutter="0"/>
          <w:cols w:space="720"/>
          <w:docGrid w:type="lines" w:linePitch="312"/>
        </w:sectPr>
      </w:pPr>
      <w:bookmarkStart w:id="0" w:name="_GoBack"/>
      <w:bookmarkEnd w:id="0"/>
    </w:p>
    <w:p w:rsidR="00206E09" w:rsidRDefault="00206E09"/>
    <w:sectPr w:rsidR="00206E09" w:rsidSect="004F36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C6706C"/>
    <w:rsid w:val="000E2D1F"/>
    <w:rsid w:val="00136BB9"/>
    <w:rsid w:val="001905A1"/>
    <w:rsid w:val="00206E09"/>
    <w:rsid w:val="003B6320"/>
    <w:rsid w:val="004F36AB"/>
    <w:rsid w:val="00547D76"/>
    <w:rsid w:val="006C7284"/>
    <w:rsid w:val="008E464F"/>
    <w:rsid w:val="00D40CB8"/>
    <w:rsid w:val="00D876A9"/>
    <w:rsid w:val="23C6706C"/>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A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36A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C6595D"/>
    <w:rPr>
      <w:sz w:val="18"/>
      <w:szCs w:val="18"/>
    </w:rPr>
  </w:style>
  <w:style w:type="table" w:styleId="TableGrid">
    <w:name w:val="Table Grid"/>
    <w:basedOn w:val="TableNormal"/>
    <w:uiPriority w:val="99"/>
    <w:rsid w:val="004F36A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7</TotalTime>
  <Pages>3</Pages>
  <Words>315</Words>
  <Characters>1797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叶龙祥</cp:lastModifiedBy>
  <cp:revision>7</cp:revision>
  <dcterms:created xsi:type="dcterms:W3CDTF">2018-11-09T08:11:00Z</dcterms:created>
  <dcterms:modified xsi:type="dcterms:W3CDTF">2018-11-09T08:20:00Z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